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9B2" w:rsidRPr="00A809B2" w:rsidRDefault="00A809B2" w:rsidP="00A809B2">
      <w:pPr>
        <w:widowControl/>
        <w:jc w:val="left"/>
        <w:rPr>
          <w:rFonts w:ascii="宋体" w:eastAsia="宋体" w:hAnsi="宋体" w:cs="宋体"/>
          <w:kern w:val="0"/>
          <w:sz w:val="24"/>
          <w:szCs w:val="24"/>
        </w:rPr>
      </w:pPr>
      <w:bookmarkStart w:id="0" w:name="_GoBack"/>
      <w:r w:rsidRPr="00A809B2">
        <w:rPr>
          <w:rFonts w:ascii="宋体" w:eastAsia="宋体" w:hAnsi="宋体" w:cs="宋体"/>
          <w:kern w:val="0"/>
          <w:sz w:val="24"/>
          <w:szCs w:val="24"/>
        </w:rPr>
        <w:t>工程管理硕士专业学位研究生指导性培养方案（试行）</w:t>
      </w:r>
      <w:bookmarkEnd w:id="0"/>
      <w:r w:rsidRPr="00A809B2">
        <w:rPr>
          <w:rFonts w:ascii="宋体" w:eastAsia="宋体" w:hAnsi="宋体" w:cs="宋体"/>
          <w:kern w:val="0"/>
          <w:sz w:val="24"/>
          <w:szCs w:val="24"/>
        </w:rPr>
        <w:t xml:space="preserve">2011.12.31 </w:t>
      </w:r>
    </w:p>
    <w:p w:rsidR="00A809B2" w:rsidRPr="00A809B2" w:rsidRDefault="00A809B2" w:rsidP="00A809B2">
      <w:pPr>
        <w:widowControl/>
        <w:spacing w:before="100" w:beforeAutospacing="1" w:after="100" w:afterAutospacing="1"/>
        <w:jc w:val="left"/>
        <w:rPr>
          <w:rFonts w:ascii="宋体" w:eastAsia="宋体" w:hAnsi="宋体" w:cs="宋体"/>
          <w:kern w:val="0"/>
          <w:sz w:val="24"/>
          <w:szCs w:val="24"/>
        </w:rPr>
      </w:pPr>
      <w:r w:rsidRPr="00A809B2">
        <w:rPr>
          <w:rFonts w:ascii="宋体" w:eastAsia="宋体" w:hAnsi="宋体" w:cs="宋体" w:hint="eastAsia"/>
          <w:b/>
          <w:bCs/>
          <w:kern w:val="0"/>
          <w:sz w:val="18"/>
          <w:szCs w:val="18"/>
        </w:rPr>
        <w:t>一、培养目标及基本要求</w:t>
      </w:r>
    </w:p>
    <w:p w:rsidR="00A809B2" w:rsidRPr="00A809B2" w:rsidRDefault="00A809B2" w:rsidP="00A809B2">
      <w:pPr>
        <w:widowControl/>
        <w:spacing w:before="100" w:beforeAutospacing="1" w:after="100" w:afterAutospacing="1"/>
        <w:jc w:val="left"/>
        <w:rPr>
          <w:rFonts w:ascii="宋体" w:eastAsia="宋体" w:hAnsi="宋体" w:cs="宋体"/>
          <w:kern w:val="0"/>
          <w:sz w:val="24"/>
          <w:szCs w:val="24"/>
        </w:rPr>
      </w:pPr>
      <w:r w:rsidRPr="00A809B2">
        <w:rPr>
          <w:rFonts w:ascii="宋体" w:eastAsia="宋体" w:hAnsi="宋体" w:cs="宋体" w:hint="eastAsia"/>
          <w:kern w:val="0"/>
          <w:sz w:val="18"/>
          <w:szCs w:val="18"/>
        </w:rPr>
        <w:t>    培养掌握马克思主义基本原理和中国特色社会主义理论体系，具备良好的政治素质和职业道德，掌握系统的工程管理理论，以及相关工程领域的基础理论和专门知识，具有较强的计划、组织、指挥、协调和决策能力，能够独立担负工程管理工作的高层次、应用型工程管理专门人才。</w:t>
      </w:r>
    </w:p>
    <w:p w:rsidR="00A809B2" w:rsidRPr="00A809B2" w:rsidRDefault="00A809B2" w:rsidP="00A809B2">
      <w:pPr>
        <w:widowControl/>
        <w:spacing w:before="100" w:beforeAutospacing="1" w:after="100" w:afterAutospacing="1"/>
        <w:jc w:val="left"/>
        <w:rPr>
          <w:rFonts w:ascii="宋体" w:eastAsia="宋体" w:hAnsi="宋体" w:cs="宋体"/>
          <w:kern w:val="0"/>
          <w:sz w:val="24"/>
          <w:szCs w:val="24"/>
        </w:rPr>
      </w:pPr>
      <w:r w:rsidRPr="00A809B2">
        <w:rPr>
          <w:rFonts w:ascii="宋体" w:eastAsia="宋体" w:hAnsi="宋体" w:cs="宋体" w:hint="eastAsia"/>
          <w:b/>
          <w:bCs/>
          <w:kern w:val="0"/>
          <w:sz w:val="18"/>
          <w:szCs w:val="18"/>
        </w:rPr>
        <w:t>二、招生对象</w:t>
      </w:r>
    </w:p>
    <w:p w:rsidR="00A809B2" w:rsidRPr="00A809B2" w:rsidRDefault="00A809B2" w:rsidP="00A809B2">
      <w:pPr>
        <w:widowControl/>
        <w:spacing w:before="100" w:beforeAutospacing="1" w:after="100" w:afterAutospacing="1"/>
        <w:jc w:val="left"/>
        <w:rPr>
          <w:rFonts w:ascii="宋体" w:eastAsia="宋体" w:hAnsi="宋体" w:cs="宋体"/>
          <w:kern w:val="0"/>
          <w:sz w:val="24"/>
          <w:szCs w:val="24"/>
        </w:rPr>
      </w:pPr>
      <w:r w:rsidRPr="00A809B2">
        <w:rPr>
          <w:rFonts w:ascii="宋体" w:eastAsia="宋体" w:hAnsi="宋体" w:cs="宋体" w:hint="eastAsia"/>
          <w:kern w:val="0"/>
          <w:sz w:val="18"/>
          <w:szCs w:val="18"/>
        </w:rPr>
        <w:t>   国民教育序列大学本科学历(或本科同等学力)并具有3年或以上工程实践经历人员，一般应具有理学、工学或管理学（工程管理专业）学士学位。</w:t>
      </w:r>
    </w:p>
    <w:p w:rsidR="00A809B2" w:rsidRPr="00A809B2" w:rsidRDefault="00A809B2" w:rsidP="00A809B2">
      <w:pPr>
        <w:widowControl/>
        <w:spacing w:before="100" w:beforeAutospacing="1" w:after="100" w:afterAutospacing="1"/>
        <w:jc w:val="left"/>
        <w:rPr>
          <w:rFonts w:ascii="宋体" w:eastAsia="宋体" w:hAnsi="宋体" w:cs="宋体"/>
          <w:kern w:val="0"/>
          <w:sz w:val="24"/>
          <w:szCs w:val="24"/>
        </w:rPr>
      </w:pPr>
      <w:r w:rsidRPr="00A809B2">
        <w:rPr>
          <w:rFonts w:ascii="宋体" w:eastAsia="宋体" w:hAnsi="宋体" w:cs="宋体" w:hint="eastAsia"/>
          <w:b/>
          <w:bCs/>
          <w:kern w:val="0"/>
          <w:sz w:val="18"/>
          <w:szCs w:val="18"/>
        </w:rPr>
        <w:t>三、学习方式与年限</w:t>
      </w:r>
    </w:p>
    <w:p w:rsidR="00A809B2" w:rsidRPr="00A809B2" w:rsidRDefault="00A809B2" w:rsidP="00A809B2">
      <w:pPr>
        <w:widowControl/>
        <w:spacing w:before="100" w:beforeAutospacing="1" w:after="100" w:afterAutospacing="1"/>
        <w:jc w:val="left"/>
        <w:rPr>
          <w:rFonts w:ascii="宋体" w:eastAsia="宋体" w:hAnsi="宋体" w:cs="宋体"/>
          <w:kern w:val="0"/>
          <w:sz w:val="24"/>
          <w:szCs w:val="24"/>
        </w:rPr>
      </w:pPr>
      <w:r w:rsidRPr="00A809B2">
        <w:rPr>
          <w:rFonts w:ascii="宋体" w:eastAsia="宋体" w:hAnsi="宋体" w:cs="宋体" w:hint="eastAsia"/>
          <w:kern w:val="0"/>
          <w:sz w:val="18"/>
          <w:szCs w:val="18"/>
        </w:rPr>
        <w:t>   全日制学习年限一般为2年；非全日制学习年限一般为3年，其中累计在校学习时间不少于1年。</w:t>
      </w:r>
    </w:p>
    <w:p w:rsidR="00A809B2" w:rsidRPr="00A809B2" w:rsidRDefault="00A809B2" w:rsidP="00A809B2">
      <w:pPr>
        <w:widowControl/>
        <w:spacing w:before="100" w:beforeAutospacing="1" w:after="100" w:afterAutospacing="1"/>
        <w:jc w:val="left"/>
        <w:rPr>
          <w:rFonts w:ascii="宋体" w:eastAsia="宋体" w:hAnsi="宋体" w:cs="宋体"/>
          <w:kern w:val="0"/>
          <w:sz w:val="24"/>
          <w:szCs w:val="24"/>
        </w:rPr>
      </w:pPr>
      <w:r w:rsidRPr="00A809B2">
        <w:rPr>
          <w:rFonts w:ascii="宋体" w:eastAsia="宋体" w:hAnsi="宋体" w:cs="宋体" w:hint="eastAsia"/>
          <w:b/>
          <w:bCs/>
          <w:kern w:val="0"/>
          <w:sz w:val="18"/>
          <w:szCs w:val="18"/>
        </w:rPr>
        <w:t>四、培养方式</w:t>
      </w:r>
    </w:p>
    <w:p w:rsidR="00A809B2" w:rsidRPr="00A809B2" w:rsidRDefault="00A809B2" w:rsidP="00A809B2">
      <w:pPr>
        <w:widowControl/>
        <w:spacing w:before="100" w:beforeAutospacing="1" w:after="100" w:afterAutospacing="1"/>
        <w:jc w:val="left"/>
        <w:rPr>
          <w:rFonts w:ascii="宋体" w:eastAsia="宋体" w:hAnsi="宋体" w:cs="宋体"/>
          <w:kern w:val="0"/>
          <w:sz w:val="24"/>
          <w:szCs w:val="24"/>
        </w:rPr>
      </w:pPr>
      <w:r w:rsidRPr="00A809B2">
        <w:rPr>
          <w:rFonts w:ascii="宋体" w:eastAsia="宋体" w:hAnsi="宋体" w:cs="宋体" w:hint="eastAsia"/>
          <w:kern w:val="0"/>
          <w:sz w:val="18"/>
          <w:szCs w:val="18"/>
        </w:rPr>
        <w:t>    包括理论课程教学、实习实践教学（含专业实践、企业实习和论文工作等）培养环节，累计实习实践教学时间不少于半年。</w:t>
      </w:r>
    </w:p>
    <w:p w:rsidR="00A809B2" w:rsidRPr="00A809B2" w:rsidRDefault="00A809B2" w:rsidP="00A809B2">
      <w:pPr>
        <w:widowControl/>
        <w:spacing w:before="100" w:beforeAutospacing="1" w:after="100" w:afterAutospacing="1"/>
        <w:jc w:val="left"/>
        <w:rPr>
          <w:rFonts w:ascii="宋体" w:eastAsia="宋体" w:hAnsi="宋体" w:cs="宋体"/>
          <w:kern w:val="0"/>
          <w:sz w:val="24"/>
          <w:szCs w:val="24"/>
        </w:rPr>
      </w:pPr>
      <w:r w:rsidRPr="00A809B2">
        <w:rPr>
          <w:rFonts w:ascii="宋体" w:eastAsia="宋体" w:hAnsi="宋体" w:cs="宋体" w:hint="eastAsia"/>
          <w:kern w:val="0"/>
          <w:sz w:val="18"/>
          <w:szCs w:val="18"/>
        </w:rPr>
        <w:t>课程设置应以工程管理学科为基础，与相关工程学科相结合，充分反映工程管理实践领域对专门人才的知识与素质要求。课程内容应具有宽广性、前沿性、综合性和系统性，注重分析能力和创造性解决实际问题能力的培养。</w:t>
      </w:r>
    </w:p>
    <w:p w:rsidR="00A809B2" w:rsidRPr="00A809B2" w:rsidRDefault="00A809B2" w:rsidP="00A809B2">
      <w:pPr>
        <w:widowControl/>
        <w:spacing w:before="100" w:beforeAutospacing="1" w:after="100" w:afterAutospacing="1"/>
        <w:jc w:val="left"/>
        <w:rPr>
          <w:rFonts w:ascii="宋体" w:eastAsia="宋体" w:hAnsi="宋体" w:cs="宋体"/>
          <w:kern w:val="0"/>
          <w:sz w:val="24"/>
          <w:szCs w:val="24"/>
        </w:rPr>
      </w:pPr>
      <w:r w:rsidRPr="00A809B2">
        <w:rPr>
          <w:rFonts w:ascii="宋体" w:eastAsia="宋体" w:hAnsi="宋体" w:cs="宋体" w:hint="eastAsia"/>
          <w:kern w:val="0"/>
          <w:sz w:val="18"/>
          <w:szCs w:val="18"/>
        </w:rPr>
        <w:t>教学方法要重视运用团队学习、案例分析、现场研究、项目训练等方法。</w:t>
      </w:r>
    </w:p>
    <w:p w:rsidR="00A809B2" w:rsidRPr="00A809B2" w:rsidRDefault="00A809B2" w:rsidP="00A809B2">
      <w:pPr>
        <w:widowControl/>
        <w:spacing w:before="100" w:beforeAutospacing="1" w:after="100" w:afterAutospacing="1"/>
        <w:jc w:val="left"/>
        <w:rPr>
          <w:rFonts w:ascii="宋体" w:eastAsia="宋体" w:hAnsi="宋体" w:cs="宋体"/>
          <w:kern w:val="0"/>
          <w:sz w:val="24"/>
          <w:szCs w:val="24"/>
        </w:rPr>
      </w:pPr>
      <w:r w:rsidRPr="00A809B2">
        <w:rPr>
          <w:rFonts w:ascii="宋体" w:eastAsia="宋体" w:hAnsi="宋体" w:cs="宋体" w:hint="eastAsia"/>
          <w:kern w:val="0"/>
          <w:sz w:val="18"/>
          <w:szCs w:val="18"/>
        </w:rPr>
        <w:t>实行双导师制，或者根据学生的论文研究方向，成立指导小组。</w:t>
      </w:r>
    </w:p>
    <w:p w:rsidR="00A809B2" w:rsidRPr="00A809B2" w:rsidRDefault="00A809B2" w:rsidP="00A809B2">
      <w:pPr>
        <w:widowControl/>
        <w:spacing w:before="100" w:beforeAutospacing="1" w:after="100" w:afterAutospacing="1"/>
        <w:jc w:val="left"/>
        <w:rPr>
          <w:rFonts w:ascii="宋体" w:eastAsia="宋体" w:hAnsi="宋体" w:cs="宋体"/>
          <w:kern w:val="0"/>
          <w:sz w:val="24"/>
          <w:szCs w:val="24"/>
        </w:rPr>
      </w:pPr>
      <w:r w:rsidRPr="00A809B2">
        <w:rPr>
          <w:rFonts w:ascii="宋体" w:eastAsia="宋体" w:hAnsi="宋体" w:cs="宋体" w:hint="eastAsia"/>
          <w:b/>
          <w:bCs/>
          <w:kern w:val="0"/>
          <w:sz w:val="18"/>
          <w:szCs w:val="18"/>
        </w:rPr>
        <w:t>五、课程设置及要求</w:t>
      </w:r>
    </w:p>
    <w:p w:rsidR="00A809B2" w:rsidRPr="00A809B2" w:rsidRDefault="00A809B2" w:rsidP="00A809B2">
      <w:pPr>
        <w:widowControl/>
        <w:spacing w:before="100" w:beforeAutospacing="1" w:after="100" w:afterAutospacing="1"/>
        <w:jc w:val="left"/>
        <w:rPr>
          <w:rFonts w:ascii="宋体" w:eastAsia="宋体" w:hAnsi="宋体" w:cs="宋体"/>
          <w:kern w:val="0"/>
          <w:sz w:val="24"/>
          <w:szCs w:val="24"/>
        </w:rPr>
      </w:pPr>
      <w:r w:rsidRPr="00A809B2">
        <w:rPr>
          <w:rFonts w:ascii="宋体" w:eastAsia="宋体" w:hAnsi="宋体" w:cs="宋体" w:hint="eastAsia"/>
          <w:kern w:val="0"/>
          <w:sz w:val="18"/>
          <w:szCs w:val="18"/>
        </w:rPr>
        <w:t>    实行学分制，总学分不少于30学分，其中管理类课程不少于18学分。</w:t>
      </w:r>
    </w:p>
    <w:p w:rsidR="00A809B2" w:rsidRPr="00A809B2" w:rsidRDefault="00A809B2" w:rsidP="00A809B2">
      <w:pPr>
        <w:widowControl/>
        <w:spacing w:before="100" w:beforeAutospacing="1" w:after="100" w:afterAutospacing="1"/>
        <w:jc w:val="left"/>
        <w:rPr>
          <w:rFonts w:ascii="宋体" w:eastAsia="宋体" w:hAnsi="宋体" w:cs="宋体"/>
          <w:kern w:val="0"/>
          <w:sz w:val="24"/>
          <w:szCs w:val="24"/>
        </w:rPr>
      </w:pPr>
      <w:r w:rsidRPr="00A809B2">
        <w:rPr>
          <w:rFonts w:ascii="宋体" w:eastAsia="宋体" w:hAnsi="宋体" w:cs="宋体" w:hint="eastAsia"/>
          <w:kern w:val="0"/>
          <w:sz w:val="18"/>
          <w:szCs w:val="18"/>
        </w:rPr>
        <w:t>课程设置采用模块方式，应覆盖：</w:t>
      </w:r>
    </w:p>
    <w:p w:rsidR="00A809B2" w:rsidRPr="00A809B2" w:rsidRDefault="00A809B2" w:rsidP="00A809B2">
      <w:pPr>
        <w:widowControl/>
        <w:spacing w:before="100" w:beforeAutospacing="1" w:after="100" w:afterAutospacing="1"/>
        <w:jc w:val="left"/>
        <w:rPr>
          <w:rFonts w:ascii="宋体" w:eastAsia="宋体" w:hAnsi="宋体" w:cs="宋体"/>
          <w:kern w:val="0"/>
          <w:sz w:val="24"/>
          <w:szCs w:val="24"/>
        </w:rPr>
      </w:pPr>
      <w:r w:rsidRPr="00A809B2">
        <w:rPr>
          <w:rFonts w:ascii="宋体" w:eastAsia="宋体" w:hAnsi="宋体" w:cs="宋体" w:hint="eastAsia"/>
          <w:kern w:val="0"/>
          <w:sz w:val="18"/>
          <w:szCs w:val="18"/>
        </w:rPr>
        <w:t>   （一）公共课程（政治、外语等）</w:t>
      </w:r>
    </w:p>
    <w:p w:rsidR="00A809B2" w:rsidRPr="00A809B2" w:rsidRDefault="00A809B2" w:rsidP="00A809B2">
      <w:pPr>
        <w:widowControl/>
        <w:spacing w:before="100" w:beforeAutospacing="1" w:after="100" w:afterAutospacing="1"/>
        <w:jc w:val="left"/>
        <w:rPr>
          <w:rFonts w:ascii="宋体" w:eastAsia="宋体" w:hAnsi="宋体" w:cs="宋体"/>
          <w:kern w:val="0"/>
          <w:sz w:val="24"/>
          <w:szCs w:val="24"/>
        </w:rPr>
      </w:pPr>
      <w:r w:rsidRPr="00A809B2">
        <w:rPr>
          <w:rFonts w:ascii="宋体" w:eastAsia="宋体" w:hAnsi="宋体" w:cs="宋体" w:hint="eastAsia"/>
          <w:kern w:val="0"/>
          <w:sz w:val="18"/>
          <w:szCs w:val="18"/>
        </w:rPr>
        <w:t>   （二）工程管理类课程</w:t>
      </w:r>
    </w:p>
    <w:p w:rsidR="00A809B2" w:rsidRPr="00A809B2" w:rsidRDefault="00A809B2" w:rsidP="00A809B2">
      <w:pPr>
        <w:widowControl/>
        <w:spacing w:before="100" w:beforeAutospacing="1" w:after="100" w:afterAutospacing="1"/>
        <w:jc w:val="left"/>
        <w:rPr>
          <w:rFonts w:ascii="宋体" w:eastAsia="宋体" w:hAnsi="宋体" w:cs="宋体"/>
          <w:kern w:val="0"/>
          <w:sz w:val="24"/>
          <w:szCs w:val="24"/>
        </w:rPr>
      </w:pPr>
      <w:r w:rsidRPr="00A809B2">
        <w:rPr>
          <w:rFonts w:ascii="宋体" w:eastAsia="宋体" w:hAnsi="宋体" w:cs="宋体" w:hint="eastAsia"/>
          <w:kern w:val="0"/>
          <w:sz w:val="18"/>
          <w:szCs w:val="18"/>
        </w:rPr>
        <w:t>   （三）工程技术类课程</w:t>
      </w:r>
    </w:p>
    <w:p w:rsidR="00A809B2" w:rsidRPr="00A809B2" w:rsidRDefault="00A809B2" w:rsidP="00A809B2">
      <w:pPr>
        <w:widowControl/>
        <w:spacing w:before="100" w:beforeAutospacing="1" w:after="100" w:afterAutospacing="1"/>
        <w:jc w:val="left"/>
        <w:rPr>
          <w:rFonts w:ascii="宋体" w:eastAsia="宋体" w:hAnsi="宋体" w:cs="宋体"/>
          <w:kern w:val="0"/>
          <w:sz w:val="24"/>
          <w:szCs w:val="24"/>
        </w:rPr>
      </w:pPr>
      <w:r w:rsidRPr="00A809B2">
        <w:rPr>
          <w:rFonts w:ascii="宋体" w:eastAsia="宋体" w:hAnsi="宋体" w:cs="宋体" w:hint="eastAsia"/>
          <w:kern w:val="0"/>
          <w:sz w:val="18"/>
          <w:szCs w:val="18"/>
        </w:rPr>
        <w:t>   （四）选修及其他课程</w:t>
      </w:r>
    </w:p>
    <w:p w:rsidR="00A809B2" w:rsidRPr="00A809B2" w:rsidRDefault="00A809B2" w:rsidP="00A809B2">
      <w:pPr>
        <w:widowControl/>
        <w:spacing w:before="100" w:beforeAutospacing="1" w:after="100" w:afterAutospacing="1"/>
        <w:jc w:val="left"/>
        <w:rPr>
          <w:rFonts w:ascii="宋体" w:eastAsia="宋体" w:hAnsi="宋体" w:cs="宋体"/>
          <w:kern w:val="0"/>
          <w:sz w:val="24"/>
          <w:szCs w:val="24"/>
        </w:rPr>
      </w:pPr>
      <w:r w:rsidRPr="00A809B2">
        <w:rPr>
          <w:rFonts w:ascii="宋体" w:eastAsia="宋体" w:hAnsi="宋体" w:cs="宋体" w:hint="eastAsia"/>
          <w:kern w:val="0"/>
          <w:sz w:val="18"/>
          <w:szCs w:val="18"/>
        </w:rPr>
        <w:t>   （五）必修环节（选题报告、实践环节、学位论文等）</w:t>
      </w:r>
    </w:p>
    <w:p w:rsidR="00A809B2" w:rsidRPr="00A809B2" w:rsidRDefault="00A809B2" w:rsidP="00A809B2">
      <w:pPr>
        <w:widowControl/>
        <w:spacing w:before="100" w:beforeAutospacing="1" w:after="100" w:afterAutospacing="1"/>
        <w:jc w:val="left"/>
        <w:rPr>
          <w:rFonts w:ascii="宋体" w:eastAsia="宋体" w:hAnsi="宋体" w:cs="宋体"/>
          <w:kern w:val="0"/>
          <w:sz w:val="24"/>
          <w:szCs w:val="24"/>
        </w:rPr>
      </w:pPr>
      <w:r w:rsidRPr="00A809B2">
        <w:rPr>
          <w:rFonts w:ascii="宋体" w:eastAsia="宋体" w:hAnsi="宋体" w:cs="宋体" w:hint="eastAsia"/>
          <w:b/>
          <w:bCs/>
          <w:kern w:val="0"/>
          <w:sz w:val="18"/>
          <w:szCs w:val="18"/>
        </w:rPr>
        <w:lastRenderedPageBreak/>
        <w:t>六、学位论文</w:t>
      </w:r>
    </w:p>
    <w:p w:rsidR="00A809B2" w:rsidRPr="00A809B2" w:rsidRDefault="00A809B2" w:rsidP="00A809B2">
      <w:pPr>
        <w:widowControl/>
        <w:spacing w:before="100" w:beforeAutospacing="1" w:after="100" w:afterAutospacing="1"/>
        <w:jc w:val="left"/>
        <w:rPr>
          <w:rFonts w:ascii="宋体" w:eastAsia="宋体" w:hAnsi="宋体" w:cs="宋体"/>
          <w:kern w:val="0"/>
          <w:sz w:val="24"/>
          <w:szCs w:val="24"/>
        </w:rPr>
      </w:pPr>
      <w:r w:rsidRPr="00A809B2">
        <w:rPr>
          <w:rFonts w:ascii="宋体" w:eastAsia="宋体" w:hAnsi="宋体" w:cs="宋体" w:hint="eastAsia"/>
          <w:kern w:val="0"/>
          <w:sz w:val="18"/>
          <w:szCs w:val="18"/>
        </w:rPr>
        <w:t>   学位论文选题应密切结合工程管理实际，学位论文应体现学生运用工程管理及相关工程学科的理论、知识和方法分析、解决工程管理实际问题的能力。学位论文可以是工程管理项目设计、专题研究或案例研究报告。</w:t>
      </w:r>
    </w:p>
    <w:p w:rsidR="00A809B2" w:rsidRPr="00A809B2" w:rsidRDefault="00A809B2" w:rsidP="00A809B2">
      <w:pPr>
        <w:widowControl/>
        <w:spacing w:before="100" w:beforeAutospacing="1" w:after="100" w:afterAutospacing="1"/>
        <w:jc w:val="left"/>
        <w:rPr>
          <w:rFonts w:ascii="宋体" w:eastAsia="宋体" w:hAnsi="宋体" w:cs="宋体"/>
          <w:kern w:val="0"/>
          <w:sz w:val="24"/>
          <w:szCs w:val="24"/>
        </w:rPr>
      </w:pPr>
      <w:r w:rsidRPr="00A809B2">
        <w:rPr>
          <w:rFonts w:ascii="宋体" w:eastAsia="宋体" w:hAnsi="宋体" w:cs="宋体" w:hint="eastAsia"/>
          <w:b/>
          <w:bCs/>
          <w:kern w:val="0"/>
          <w:sz w:val="18"/>
          <w:szCs w:val="18"/>
        </w:rPr>
        <w:t>七、论文评审与答辩</w:t>
      </w:r>
    </w:p>
    <w:p w:rsidR="00A809B2" w:rsidRPr="00A809B2" w:rsidRDefault="00A809B2" w:rsidP="00A809B2">
      <w:pPr>
        <w:widowControl/>
        <w:spacing w:before="100" w:beforeAutospacing="1" w:after="100" w:afterAutospacing="1"/>
        <w:jc w:val="left"/>
        <w:rPr>
          <w:rFonts w:ascii="宋体" w:eastAsia="宋体" w:hAnsi="宋体" w:cs="宋体"/>
          <w:kern w:val="0"/>
          <w:sz w:val="24"/>
          <w:szCs w:val="24"/>
        </w:rPr>
      </w:pPr>
      <w:r w:rsidRPr="00A809B2">
        <w:rPr>
          <w:rFonts w:ascii="宋体" w:eastAsia="宋体" w:hAnsi="宋体" w:cs="宋体" w:hint="eastAsia"/>
          <w:kern w:val="0"/>
          <w:sz w:val="18"/>
          <w:szCs w:val="18"/>
        </w:rPr>
        <w:t>   （一）工程管理硕士研究生完成培养方案中的规定环节，达到培养方案规定的要求，成绩合格，方可申请论文答辩。</w:t>
      </w:r>
    </w:p>
    <w:p w:rsidR="00A809B2" w:rsidRPr="00A809B2" w:rsidRDefault="00A809B2" w:rsidP="00A809B2">
      <w:pPr>
        <w:widowControl/>
        <w:spacing w:before="100" w:beforeAutospacing="1" w:after="100" w:afterAutospacing="1"/>
        <w:jc w:val="left"/>
        <w:rPr>
          <w:rFonts w:ascii="宋体" w:eastAsia="宋体" w:hAnsi="宋体" w:cs="宋体"/>
          <w:kern w:val="0"/>
          <w:sz w:val="24"/>
          <w:szCs w:val="24"/>
        </w:rPr>
      </w:pPr>
      <w:r w:rsidRPr="00A809B2">
        <w:rPr>
          <w:rFonts w:ascii="宋体" w:eastAsia="宋体" w:hAnsi="宋体" w:cs="宋体" w:hint="eastAsia"/>
          <w:kern w:val="0"/>
          <w:sz w:val="18"/>
          <w:szCs w:val="18"/>
        </w:rPr>
        <w:t>   （二）论文除经导师写出详细的评阅意见外，还应有2位本领域或相近领域的专家评阅。答辩委员会应由3～5位与本领域相关的专家组成。学位论文评阅人和答辩委员会成员中均须有相关工程领域管理实践专家。</w:t>
      </w:r>
    </w:p>
    <w:p w:rsidR="00A809B2" w:rsidRPr="00A809B2" w:rsidRDefault="00A809B2" w:rsidP="00A809B2">
      <w:pPr>
        <w:widowControl/>
        <w:spacing w:before="100" w:beforeAutospacing="1" w:after="100" w:afterAutospacing="1"/>
        <w:jc w:val="left"/>
        <w:rPr>
          <w:rFonts w:ascii="宋体" w:eastAsia="宋体" w:hAnsi="宋体" w:cs="宋体"/>
          <w:kern w:val="0"/>
          <w:sz w:val="24"/>
          <w:szCs w:val="24"/>
        </w:rPr>
      </w:pPr>
      <w:r w:rsidRPr="00A809B2">
        <w:rPr>
          <w:rFonts w:ascii="宋体" w:eastAsia="宋体" w:hAnsi="宋体" w:cs="宋体" w:hint="eastAsia"/>
          <w:b/>
          <w:bCs/>
          <w:kern w:val="0"/>
          <w:sz w:val="18"/>
          <w:szCs w:val="18"/>
        </w:rPr>
        <w:t>八、学位授予</w:t>
      </w:r>
    </w:p>
    <w:p w:rsidR="00A809B2" w:rsidRPr="00A809B2" w:rsidRDefault="00A809B2" w:rsidP="00A809B2">
      <w:pPr>
        <w:widowControl/>
        <w:spacing w:before="100" w:beforeAutospacing="1" w:after="100" w:afterAutospacing="1"/>
        <w:jc w:val="left"/>
        <w:rPr>
          <w:rFonts w:ascii="宋体" w:eastAsia="宋体" w:hAnsi="宋体" w:cs="宋体"/>
          <w:kern w:val="0"/>
          <w:sz w:val="24"/>
          <w:szCs w:val="24"/>
        </w:rPr>
      </w:pPr>
      <w:r w:rsidRPr="00A809B2">
        <w:rPr>
          <w:rFonts w:ascii="宋体" w:eastAsia="宋体" w:hAnsi="宋体" w:cs="宋体" w:hint="eastAsia"/>
          <w:kern w:val="0"/>
          <w:sz w:val="18"/>
          <w:szCs w:val="18"/>
        </w:rPr>
        <w:t>    完成课程学习和实习实践等培养环节，取得规定学分，并通过学位论文答辩者，经学位授予单位学位评定委员会审核，授予工程管理硕士专业学位。</w:t>
      </w:r>
    </w:p>
    <w:p w:rsidR="00A809B2" w:rsidRPr="00A809B2" w:rsidRDefault="00A809B2" w:rsidP="00A809B2">
      <w:pPr>
        <w:widowControl/>
        <w:spacing w:before="100" w:beforeAutospacing="1" w:after="100" w:afterAutospacing="1"/>
        <w:jc w:val="left"/>
        <w:rPr>
          <w:rFonts w:ascii="宋体" w:eastAsia="宋体" w:hAnsi="宋体" w:cs="宋体"/>
          <w:kern w:val="0"/>
          <w:sz w:val="24"/>
          <w:szCs w:val="24"/>
        </w:rPr>
      </w:pPr>
    </w:p>
    <w:p w:rsidR="00E87457" w:rsidRPr="00A809B2" w:rsidRDefault="00E87457"/>
    <w:sectPr w:rsidR="00E87457" w:rsidRPr="00A809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DF9" w:rsidRDefault="000D7DF9" w:rsidP="00A809B2">
      <w:r>
        <w:separator/>
      </w:r>
    </w:p>
  </w:endnote>
  <w:endnote w:type="continuationSeparator" w:id="0">
    <w:p w:rsidR="000D7DF9" w:rsidRDefault="000D7DF9" w:rsidP="00A8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DF9" w:rsidRDefault="000D7DF9" w:rsidP="00A809B2">
      <w:r>
        <w:separator/>
      </w:r>
    </w:p>
  </w:footnote>
  <w:footnote w:type="continuationSeparator" w:id="0">
    <w:p w:rsidR="000D7DF9" w:rsidRDefault="000D7DF9" w:rsidP="00A80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5A2"/>
    <w:rsid w:val="000D7DF9"/>
    <w:rsid w:val="001865A2"/>
    <w:rsid w:val="00A809B2"/>
    <w:rsid w:val="00E87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09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09B2"/>
    <w:rPr>
      <w:sz w:val="18"/>
      <w:szCs w:val="18"/>
    </w:rPr>
  </w:style>
  <w:style w:type="paragraph" w:styleId="a4">
    <w:name w:val="footer"/>
    <w:basedOn w:val="a"/>
    <w:link w:val="Char0"/>
    <w:uiPriority w:val="99"/>
    <w:unhideWhenUsed/>
    <w:rsid w:val="00A809B2"/>
    <w:pPr>
      <w:tabs>
        <w:tab w:val="center" w:pos="4153"/>
        <w:tab w:val="right" w:pos="8306"/>
      </w:tabs>
      <w:snapToGrid w:val="0"/>
      <w:jc w:val="left"/>
    </w:pPr>
    <w:rPr>
      <w:sz w:val="18"/>
      <w:szCs w:val="18"/>
    </w:rPr>
  </w:style>
  <w:style w:type="character" w:customStyle="1" w:styleId="Char0">
    <w:name w:val="页脚 Char"/>
    <w:basedOn w:val="a0"/>
    <w:link w:val="a4"/>
    <w:uiPriority w:val="99"/>
    <w:rsid w:val="00A809B2"/>
    <w:rPr>
      <w:sz w:val="18"/>
      <w:szCs w:val="18"/>
    </w:rPr>
  </w:style>
  <w:style w:type="character" w:customStyle="1" w:styleId="date">
    <w:name w:val="date"/>
    <w:basedOn w:val="a0"/>
    <w:rsid w:val="00A809B2"/>
  </w:style>
  <w:style w:type="paragraph" w:styleId="a5">
    <w:name w:val="Normal (Web)"/>
    <w:basedOn w:val="a"/>
    <w:uiPriority w:val="99"/>
    <w:semiHidden/>
    <w:unhideWhenUsed/>
    <w:rsid w:val="00A809B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809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09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09B2"/>
    <w:rPr>
      <w:sz w:val="18"/>
      <w:szCs w:val="18"/>
    </w:rPr>
  </w:style>
  <w:style w:type="paragraph" w:styleId="a4">
    <w:name w:val="footer"/>
    <w:basedOn w:val="a"/>
    <w:link w:val="Char0"/>
    <w:uiPriority w:val="99"/>
    <w:unhideWhenUsed/>
    <w:rsid w:val="00A809B2"/>
    <w:pPr>
      <w:tabs>
        <w:tab w:val="center" w:pos="4153"/>
        <w:tab w:val="right" w:pos="8306"/>
      </w:tabs>
      <w:snapToGrid w:val="0"/>
      <w:jc w:val="left"/>
    </w:pPr>
    <w:rPr>
      <w:sz w:val="18"/>
      <w:szCs w:val="18"/>
    </w:rPr>
  </w:style>
  <w:style w:type="character" w:customStyle="1" w:styleId="Char0">
    <w:name w:val="页脚 Char"/>
    <w:basedOn w:val="a0"/>
    <w:link w:val="a4"/>
    <w:uiPriority w:val="99"/>
    <w:rsid w:val="00A809B2"/>
    <w:rPr>
      <w:sz w:val="18"/>
      <w:szCs w:val="18"/>
    </w:rPr>
  </w:style>
  <w:style w:type="character" w:customStyle="1" w:styleId="date">
    <w:name w:val="date"/>
    <w:basedOn w:val="a0"/>
    <w:rsid w:val="00A809B2"/>
  </w:style>
  <w:style w:type="paragraph" w:styleId="a5">
    <w:name w:val="Normal (Web)"/>
    <w:basedOn w:val="a"/>
    <w:uiPriority w:val="99"/>
    <w:semiHidden/>
    <w:unhideWhenUsed/>
    <w:rsid w:val="00A809B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80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979247">
      <w:bodyDiv w:val="1"/>
      <w:marLeft w:val="0"/>
      <w:marRight w:val="0"/>
      <w:marTop w:val="0"/>
      <w:marBottom w:val="0"/>
      <w:divBdr>
        <w:top w:val="none" w:sz="0" w:space="0" w:color="auto"/>
        <w:left w:val="none" w:sz="0" w:space="0" w:color="auto"/>
        <w:bottom w:val="none" w:sz="0" w:space="0" w:color="auto"/>
        <w:right w:val="none" w:sz="0" w:space="0" w:color="auto"/>
      </w:divBdr>
      <w:divsChild>
        <w:div w:id="403913503">
          <w:marLeft w:val="0"/>
          <w:marRight w:val="0"/>
          <w:marTop w:val="0"/>
          <w:marBottom w:val="0"/>
          <w:divBdr>
            <w:top w:val="none" w:sz="0" w:space="0" w:color="auto"/>
            <w:left w:val="none" w:sz="0" w:space="0" w:color="auto"/>
            <w:bottom w:val="none" w:sz="0" w:space="0" w:color="auto"/>
            <w:right w:val="none" w:sz="0" w:space="0" w:color="auto"/>
          </w:divBdr>
        </w:div>
        <w:div w:id="535964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2</cp:revision>
  <dcterms:created xsi:type="dcterms:W3CDTF">2020-07-14T01:49:00Z</dcterms:created>
  <dcterms:modified xsi:type="dcterms:W3CDTF">2020-07-14T01:52:00Z</dcterms:modified>
</cp:coreProperties>
</file>